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2155"/>
      </w:tblGrid>
      <w:tr w:rsidR="00527EC5" w:rsidRPr="00CD6851"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line="254" w:lineRule="auto"/>
              <w:jc w:val="both"/>
              <w:rPr>
                <w:rFonts w:ascii="Playfair Display" w:hAnsi="Playfair Display"/>
                <w:b/>
                <w:i/>
                <w:lang w:val="en-US" w:eastAsia="en-US"/>
              </w:rPr>
            </w:pPr>
            <w:r w:rsidRPr="00CD6851">
              <w:rPr>
                <w:rFonts w:ascii="Playfair Display" w:hAnsi="Playfair Display"/>
                <w:lang w:val="en-US" w:eastAsia="en-US"/>
              </w:rPr>
              <w:t>Name of course</w:t>
            </w:r>
            <w:bookmarkStart w:id="0" w:name="_GoBack"/>
            <w:r w:rsidRPr="00CD6851">
              <w:rPr>
                <w:rFonts w:ascii="Playfair Display" w:hAnsi="Playfair Display"/>
                <w:lang w:val="en-US" w:eastAsia="en-US"/>
              </w:rPr>
              <w:t>:</w:t>
            </w:r>
            <w:r w:rsidRPr="00CD6851">
              <w:rPr>
                <w:rFonts w:ascii="Playfair Display" w:hAnsi="Playfair Display"/>
                <w:b/>
                <w:lang w:val="en-US" w:eastAsia="en-US"/>
              </w:rPr>
              <w:t xml:space="preserve"> Plant biotechnology</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b/>
                <w:lang w:val="en-US" w:eastAsia="en-US"/>
              </w:rPr>
            </w:pPr>
            <w:r w:rsidRPr="00CD6851">
              <w:rPr>
                <w:rFonts w:ascii="Playfair Display" w:hAnsi="Playfair Display"/>
                <w:b/>
                <w:lang w:val="en-US" w:eastAsia="en-US"/>
              </w:rPr>
              <w:t>Credit value: 3</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lang w:val="en-US" w:eastAsia="en-US"/>
              </w:rPr>
            </w:pPr>
            <w:r w:rsidRPr="00CD6851">
              <w:rPr>
                <w:rFonts w:ascii="Playfair Display" w:hAnsi="Playfair Display"/>
                <w:b/>
                <w:lang w:val="en-US" w:eastAsia="en-US"/>
              </w:rPr>
              <w:t>Course</w:t>
            </w:r>
            <w:r w:rsidRPr="00CD6851">
              <w:rPr>
                <w:rFonts w:ascii="Playfair Display" w:hAnsi="Playfair Display"/>
                <w:lang w:val="en-US" w:eastAsia="en-US"/>
              </w:rPr>
              <w:t xml:space="preserve"> </w:t>
            </w:r>
            <w:r w:rsidRPr="00CD6851">
              <w:rPr>
                <w:rFonts w:ascii="Playfair Display" w:hAnsi="Playfair Display"/>
                <w:b/>
                <w:lang w:val="en-US" w:eastAsia="en-US"/>
              </w:rPr>
              <w:t>classification</w:t>
            </w:r>
            <w:r w:rsidRPr="00CD6851">
              <w:rPr>
                <w:rFonts w:ascii="Playfair Display" w:hAnsi="Playfair Display"/>
                <w:lang w:val="en-US" w:eastAsia="en-US"/>
              </w:rPr>
              <w:t>: obligatory</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40" w:after="40" w:line="254" w:lineRule="auto"/>
              <w:jc w:val="both"/>
              <w:rPr>
                <w:rFonts w:ascii="Playfair Display" w:hAnsi="Playfair Display"/>
                <w:lang w:val="en-US" w:eastAsia="en-US"/>
              </w:rPr>
            </w:pPr>
            <w:r w:rsidRPr="00CD6851">
              <w:rPr>
                <w:rFonts w:ascii="Playfair Display" w:hAnsi="Playfair Display"/>
                <w:b/>
                <w:lang w:val="en-US" w:eastAsia="en-US"/>
              </w:rPr>
              <w:t xml:space="preserve">The proportion of the practical nature of the course, „educational character”: </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pacing w:line="254" w:lineRule="auto"/>
              <w:rPr>
                <w:rFonts w:ascii="Playfair Display" w:hAnsi="Playfair Display"/>
                <w:b/>
                <w:lang w:val="en-US" w:eastAsia="en-US"/>
              </w:rPr>
            </w:pPr>
            <w:r w:rsidRPr="00CD6851">
              <w:rPr>
                <w:rFonts w:ascii="Playfair Display" w:hAnsi="Playfair Display"/>
                <w:b/>
                <w:lang w:val="en-US" w:eastAsia="en-US"/>
              </w:rPr>
              <w:t xml:space="preserve">Type of course:   </w:t>
            </w:r>
            <w:r w:rsidRPr="00CD6851">
              <w:rPr>
                <w:rFonts w:ascii="Playfair Display" w:hAnsi="Playfair Display"/>
                <w:lang w:val="en-US" w:eastAsia="en-US"/>
              </w:rPr>
              <w:t xml:space="preserve">theoretical /   practical, and the </w:t>
            </w:r>
            <w:r w:rsidRPr="00CD6851">
              <w:rPr>
                <w:rFonts w:ascii="Playfair Display" w:hAnsi="Playfair Display"/>
                <w:b/>
                <w:lang w:val="en-US" w:eastAsia="en-US"/>
              </w:rPr>
              <w:t>total number:   hours</w:t>
            </w:r>
            <w:r w:rsidRPr="00CD6851">
              <w:rPr>
                <w:rFonts w:ascii="Playfair Display" w:hAnsi="Playfair Display"/>
                <w:lang w:val="en-US" w:eastAsia="en-US"/>
              </w:rPr>
              <w:t xml:space="preserve"> in the given </w:t>
            </w:r>
            <w:r w:rsidRPr="00CD6851">
              <w:rPr>
                <w:rFonts w:ascii="Playfair Display" w:hAnsi="Playfair Display"/>
                <w:b/>
                <w:lang w:val="en-US" w:eastAsia="en-US"/>
              </w:rPr>
              <w:t>semester.</w:t>
            </w:r>
          </w:p>
          <w:p w:rsidR="00527EC5" w:rsidRPr="00CD6851" w:rsidRDefault="00527EC5" w:rsidP="000D1F89">
            <w:pPr>
              <w:suppressAutoHyphens/>
              <w:spacing w:before="60"/>
              <w:jc w:val="both"/>
              <w:rPr>
                <w:rFonts w:ascii="Playfair Display" w:hAnsi="Playfair Display"/>
              </w:rPr>
            </w:pPr>
            <w:r w:rsidRPr="00CD6851">
              <w:rPr>
                <w:rFonts w:ascii="Playfair Display" w:hAnsi="Playfair Display"/>
                <w:lang w:val="en-US" w:eastAsia="en-US"/>
              </w:rPr>
              <w:t xml:space="preserve">Further (unique) means and properties of knowledge transfer: </w:t>
            </w:r>
            <w:r w:rsidRPr="00CD6851">
              <w:rPr>
                <w:rFonts w:ascii="Playfair Display" w:hAnsi="Playfair Display"/>
                <w:b/>
                <w:lang w:val="en-US"/>
              </w:rPr>
              <w:t>14</w:t>
            </w:r>
            <w:r w:rsidRPr="00CD6851">
              <w:rPr>
                <w:rFonts w:ascii="Playfair Display" w:hAnsi="Playfair Display"/>
                <w:b/>
              </w:rPr>
              <w:t xml:space="preserve"> </w:t>
            </w:r>
            <w:proofErr w:type="spellStart"/>
            <w:r w:rsidRPr="00CD6851">
              <w:rPr>
                <w:rFonts w:ascii="Playfair Display" w:hAnsi="Playfair Display"/>
                <w:b/>
              </w:rPr>
              <w:t>th</w:t>
            </w:r>
            <w:proofErr w:type="spellEnd"/>
            <w:r w:rsidRPr="00CD6851">
              <w:rPr>
                <w:rFonts w:ascii="Playfair Display" w:hAnsi="Playfair Display"/>
                <w:b/>
              </w:rPr>
              <w:t xml:space="preserve">. </w:t>
            </w:r>
            <w:proofErr w:type="gramStart"/>
            <w:r w:rsidRPr="00CD6851">
              <w:rPr>
                <w:rFonts w:ascii="Playfair Display" w:hAnsi="Playfair Display"/>
                <w:b/>
              </w:rPr>
              <w:t>/  14</w:t>
            </w:r>
            <w:proofErr w:type="gramEnd"/>
            <w:r w:rsidRPr="00CD6851">
              <w:rPr>
                <w:rFonts w:ascii="Playfair Display" w:hAnsi="Playfair Display"/>
                <w:b/>
              </w:rPr>
              <w:t xml:space="preserve"> </w:t>
            </w:r>
            <w:proofErr w:type="spellStart"/>
            <w:r w:rsidRPr="00CD6851">
              <w:rPr>
                <w:rFonts w:ascii="Playfair Display" w:hAnsi="Playfair Display"/>
                <w:b/>
              </w:rPr>
              <w:t>pr</w:t>
            </w:r>
            <w:proofErr w:type="spellEnd"/>
            <w:r w:rsidRPr="00CD6851">
              <w:rPr>
                <w:rFonts w:ascii="Playfair Display" w:hAnsi="Playfair Display"/>
                <w:b/>
              </w:rPr>
              <w:t>.</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lang w:val="en-US" w:eastAsia="en-US"/>
              </w:rPr>
            </w:pPr>
            <w:r w:rsidRPr="00CD6851">
              <w:rPr>
                <w:rFonts w:ascii="Playfair Display" w:hAnsi="Playfair Display"/>
                <w:b/>
                <w:lang w:val="en-US" w:eastAsia="en-US"/>
              </w:rPr>
              <w:t>Exam</w:t>
            </w:r>
            <w:r w:rsidRPr="00CD6851">
              <w:rPr>
                <w:rFonts w:ascii="Playfair Display" w:hAnsi="Playfair Display"/>
                <w:lang w:val="en-US" w:eastAsia="en-US"/>
              </w:rPr>
              <w:t xml:space="preserve"> type (colloquium / practical grade / </w:t>
            </w:r>
            <w:r w:rsidRPr="00CD6851">
              <w:rPr>
                <w:rFonts w:ascii="Playfair Display" w:hAnsi="Playfair Display"/>
                <w:b/>
                <w:lang w:val="en-US" w:eastAsia="en-US"/>
              </w:rPr>
              <w:t xml:space="preserve">other </w:t>
            </w:r>
            <w:r w:rsidRPr="00CD6851">
              <w:rPr>
                <w:rFonts w:ascii="Playfair Display" w:hAnsi="Playfair Display"/>
                <w:lang w:val="en-US" w:eastAsia="en-US"/>
              </w:rPr>
              <w:t xml:space="preserve">): </w:t>
            </w:r>
            <w:r w:rsidRPr="00CD6851">
              <w:rPr>
                <w:rFonts w:ascii="Playfair Display" w:hAnsi="Playfair Display"/>
                <w:b/>
                <w:lang w:val="en-US" w:eastAsia="en-US"/>
              </w:rPr>
              <w:t xml:space="preserve"> colloquium</w:t>
            </w:r>
          </w:p>
          <w:p w:rsidR="00527EC5" w:rsidRPr="00CD6851" w:rsidRDefault="00527EC5" w:rsidP="000D1F89">
            <w:pPr>
              <w:suppressAutoHyphens/>
              <w:spacing w:before="60" w:line="254" w:lineRule="auto"/>
              <w:jc w:val="both"/>
              <w:rPr>
                <w:rFonts w:ascii="Playfair Display" w:hAnsi="Playfair Display"/>
                <w:b/>
                <w:lang w:val="en-US" w:eastAsia="en-US"/>
              </w:rPr>
            </w:pPr>
            <w:r w:rsidRPr="00CD6851">
              <w:rPr>
                <w:rFonts w:ascii="Playfair Display" w:hAnsi="Playfair Display"/>
                <w:lang w:val="en-US" w:eastAsia="en-US"/>
              </w:rPr>
              <w:t>Further (unique) means of knowledge verification</w:t>
            </w:r>
            <w:r w:rsidRPr="00CD6851">
              <w:rPr>
                <w:rFonts w:ascii="Playfair Display" w:hAnsi="Playfair Display"/>
                <w:b/>
                <w:color w:val="333399"/>
                <w:lang w:val="en-US" w:eastAsia="en-US"/>
              </w:rPr>
              <w:t xml:space="preserve">: </w:t>
            </w:r>
            <w:r w:rsidRPr="00CD6851">
              <w:rPr>
                <w:rFonts w:ascii="Playfair Display" w:hAnsi="Playfair Display"/>
                <w:b/>
                <w:lang w:val="en-US" w:eastAsia="en-US"/>
              </w:rPr>
              <w:t xml:space="preserve"> midterm test from practical topics</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line="254" w:lineRule="auto"/>
              <w:jc w:val="both"/>
              <w:rPr>
                <w:rFonts w:ascii="Playfair Display" w:hAnsi="Playfair Display"/>
                <w:lang w:val="en-US" w:eastAsia="en-US"/>
              </w:rPr>
            </w:pPr>
            <w:r w:rsidRPr="00CD6851">
              <w:rPr>
                <w:rFonts w:ascii="Playfair Display" w:hAnsi="Playfair Display"/>
                <w:lang w:val="en-US" w:eastAsia="en-US"/>
              </w:rPr>
              <w:t xml:space="preserve">The curricular </w:t>
            </w:r>
            <w:r w:rsidRPr="00CD6851">
              <w:rPr>
                <w:rFonts w:ascii="Playfair Display" w:hAnsi="Playfair Display"/>
                <w:b/>
                <w:lang w:val="en-US" w:eastAsia="en-US"/>
              </w:rPr>
              <w:t>place of the course</w:t>
            </w:r>
            <w:r w:rsidRPr="00CD6851">
              <w:rPr>
                <w:rFonts w:ascii="Playfair Display" w:hAnsi="Playfair Display"/>
                <w:lang w:val="en-US" w:eastAsia="en-US"/>
              </w:rPr>
              <w:t xml:space="preserve"> (which semester): </w:t>
            </w:r>
            <w:r w:rsidRPr="00CD6851">
              <w:rPr>
                <w:rFonts w:ascii="Playfair Display" w:hAnsi="Playfair Display"/>
                <w:b/>
                <w:bCs/>
                <w:lang w:val="en-US" w:eastAsia="en-US"/>
              </w:rPr>
              <w:t>second semester</w:t>
            </w:r>
          </w:p>
        </w:tc>
      </w:tr>
      <w:tr w:rsidR="00527EC5" w:rsidRPr="00CD6851"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line="254" w:lineRule="auto"/>
              <w:jc w:val="both"/>
              <w:rPr>
                <w:rFonts w:ascii="Playfair Display" w:hAnsi="Playfair Display"/>
                <w:lang w:val="en-US" w:eastAsia="en-US"/>
              </w:rPr>
            </w:pPr>
            <w:r w:rsidRPr="00CD6851">
              <w:rPr>
                <w:rFonts w:ascii="Playfair Display" w:hAnsi="Playfair Display"/>
                <w:lang w:val="en-US" w:eastAsia="en-US"/>
              </w:rPr>
              <w:t xml:space="preserve">Prerequisites (if any): </w:t>
            </w:r>
            <w:r w:rsidRPr="00CD6851">
              <w:rPr>
                <w:rFonts w:ascii="Playfair Display" w:hAnsi="Playfair Display"/>
                <w:b/>
                <w:lang w:val="en-US" w:eastAsia="en-US"/>
              </w:rPr>
              <w:t xml:space="preserve">-    BSc level knowledge of plant anatomy, physiology and biochemistry               </w:t>
            </w:r>
          </w:p>
        </w:tc>
      </w:tr>
    </w:tbl>
    <w:p w:rsidR="00527EC5" w:rsidRPr="00CD6851" w:rsidRDefault="00527EC5" w:rsidP="00527EC5">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527EC5" w:rsidRPr="00CD6851"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b/>
                <w:lang w:val="en-US" w:eastAsia="en-US"/>
              </w:rPr>
            </w:pPr>
            <w:r w:rsidRPr="00CD6851">
              <w:rPr>
                <w:rFonts w:ascii="Playfair Display" w:hAnsi="Playfair Display"/>
                <w:b/>
                <w:lang w:val="en-US" w:eastAsia="en-US"/>
              </w:rPr>
              <w:t xml:space="preserve">Course description: a brief, but informative description of the knowledge to </w:t>
            </w:r>
            <w:proofErr w:type="gramStart"/>
            <w:r w:rsidRPr="00CD6851">
              <w:rPr>
                <w:rFonts w:ascii="Playfair Display" w:hAnsi="Playfair Display"/>
                <w:b/>
                <w:lang w:val="en-US" w:eastAsia="en-US"/>
              </w:rPr>
              <w:t>be acquired</w:t>
            </w:r>
            <w:proofErr w:type="gramEnd"/>
            <w:r w:rsidRPr="00CD6851">
              <w:rPr>
                <w:rFonts w:ascii="Playfair Display" w:hAnsi="Playfair Display"/>
                <w:b/>
                <w:lang w:val="en-US" w:eastAsia="en-US"/>
              </w:rPr>
              <w:t xml:space="preserve"> (14 weeks).</w:t>
            </w:r>
          </w:p>
        </w:tc>
      </w:tr>
      <w:tr w:rsidR="00527EC5" w:rsidRPr="00CD6851"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527EC5" w:rsidRPr="00CD6851" w:rsidRDefault="00527EC5" w:rsidP="000D1F89">
            <w:pPr>
              <w:suppressAutoHyphens/>
              <w:spacing w:line="254" w:lineRule="auto"/>
              <w:ind w:left="34"/>
              <w:jc w:val="both"/>
              <w:rPr>
                <w:rFonts w:ascii="Playfair Display" w:hAnsi="Playfair Display"/>
                <w:iCs/>
                <w:lang w:val="en-GB"/>
              </w:rPr>
            </w:pPr>
            <w:r w:rsidRPr="00CD6851">
              <w:rPr>
                <w:rFonts w:ascii="Playfair Display" w:hAnsi="Playfair Display"/>
                <w:iCs/>
                <w:lang w:val="en-GB"/>
              </w:rPr>
              <w:t xml:space="preserve">The aim of the course is to acquaint students with the history and development of biotechnology. They will also learn about the theoretical and practical perspectives of plant biotechnology by presenting methods and strategies in in vitro cell biology, tissue culture, molecular biology, proteomics, </w:t>
            </w:r>
            <w:proofErr w:type="spellStart"/>
            <w:r w:rsidRPr="00CD6851">
              <w:rPr>
                <w:rFonts w:ascii="Playfair Display" w:hAnsi="Playfair Display"/>
                <w:iCs/>
                <w:lang w:val="en-GB"/>
              </w:rPr>
              <w:t>biorefinery</w:t>
            </w:r>
            <w:proofErr w:type="spellEnd"/>
            <w:r w:rsidRPr="00CD6851">
              <w:rPr>
                <w:rFonts w:ascii="Playfair Display" w:hAnsi="Playfair Display"/>
                <w:iCs/>
                <w:lang w:val="en-GB"/>
              </w:rPr>
              <w:t xml:space="preserve">, and circular economy. Based on the 14-hour lecture, students can learn about the solutions that plant biotechnology offers to the current challenges of field crop production, taking into account national and international results. The lectures </w:t>
            </w:r>
            <w:proofErr w:type="gramStart"/>
            <w:r w:rsidRPr="00CD6851">
              <w:rPr>
                <w:rFonts w:ascii="Playfair Display" w:hAnsi="Playfair Display"/>
                <w:iCs/>
                <w:lang w:val="en-GB"/>
              </w:rPr>
              <w:t>are complemented</w:t>
            </w:r>
            <w:proofErr w:type="gramEnd"/>
            <w:r w:rsidRPr="00CD6851">
              <w:rPr>
                <w:rFonts w:ascii="Playfair Display" w:hAnsi="Playfair Display"/>
                <w:iCs/>
                <w:lang w:val="en-GB"/>
              </w:rPr>
              <w:t xml:space="preserve"> by a 14-hour laboratory exercise. During these, students have the opportunity to learn about and actively participate in the most important in vitro plant cell biology, tissue culture, protein extraction and proteomic techniques, as well as special biochemical analytical methods in the field.</w:t>
            </w:r>
          </w:p>
          <w:p w:rsidR="00527EC5" w:rsidRPr="00CD6851" w:rsidRDefault="00527EC5" w:rsidP="000D1F89">
            <w:pPr>
              <w:suppressAutoHyphens/>
              <w:spacing w:line="254" w:lineRule="auto"/>
              <w:ind w:left="34"/>
              <w:jc w:val="both"/>
              <w:rPr>
                <w:rFonts w:ascii="Playfair Display" w:hAnsi="Playfair Display"/>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89"/>
            </w:tblGrid>
            <w:tr w:rsidR="00527EC5" w:rsidRPr="00CD6851" w:rsidTr="000D1F89">
              <w:tc>
                <w:tcPr>
                  <w:tcW w:w="4474" w:type="dxa"/>
                </w:tcPr>
                <w:p w:rsidR="00527EC5" w:rsidRPr="00CD6851" w:rsidRDefault="00527EC5" w:rsidP="000D1F89">
                  <w:pPr>
                    <w:jc w:val="center"/>
                    <w:rPr>
                      <w:rFonts w:ascii="Playfair Display" w:hAnsi="Playfair Display"/>
                      <w:iCs/>
                      <w:lang w:val="en-GB"/>
                    </w:rPr>
                  </w:pPr>
                  <w:r w:rsidRPr="00CD6851">
                    <w:rPr>
                      <w:rFonts w:ascii="Playfair Display" w:hAnsi="Playfair Display"/>
                      <w:iCs/>
                      <w:lang w:val="en-GB"/>
                    </w:rPr>
                    <w:t>Lecture</w:t>
                  </w:r>
                </w:p>
              </w:tc>
              <w:tc>
                <w:tcPr>
                  <w:tcW w:w="4475" w:type="dxa"/>
                </w:tcPr>
                <w:p w:rsidR="00527EC5" w:rsidRPr="00CD6851" w:rsidRDefault="00527EC5" w:rsidP="000D1F89">
                  <w:pPr>
                    <w:jc w:val="center"/>
                    <w:rPr>
                      <w:rFonts w:ascii="Playfair Display" w:hAnsi="Playfair Display"/>
                      <w:iCs/>
                      <w:lang w:val="en-GB"/>
                    </w:rPr>
                  </w:pPr>
                  <w:r w:rsidRPr="00CD6851">
                    <w:rPr>
                      <w:rFonts w:ascii="Playfair Display" w:hAnsi="Playfair Display"/>
                      <w:iCs/>
                      <w:lang w:val="en-GB"/>
                    </w:rPr>
                    <w:t>Practise</w:t>
                  </w:r>
                </w:p>
              </w:tc>
            </w:tr>
            <w:tr w:rsidR="00527EC5" w:rsidRPr="00CD6851" w:rsidTr="000D1F89">
              <w:tc>
                <w:tcPr>
                  <w:tcW w:w="4474"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1.-2. hours: History of biotechnology and plant tissue culture</w:t>
                  </w:r>
                </w:p>
              </w:tc>
              <w:tc>
                <w:tcPr>
                  <w:tcW w:w="4475"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 xml:space="preserve">1.-2. hours: Presentation of a plant </w:t>
                  </w:r>
                  <w:r w:rsidRPr="00CD6851">
                    <w:rPr>
                      <w:rFonts w:ascii="Playfair Display" w:hAnsi="Playfair Display"/>
                      <w:i/>
                      <w:lang w:val="en-GB"/>
                    </w:rPr>
                    <w:t>in vitro</w:t>
                  </w:r>
                  <w:r w:rsidRPr="00CD6851">
                    <w:rPr>
                      <w:rFonts w:ascii="Playfair Display" w:hAnsi="Playfair Display"/>
                      <w:iCs/>
                      <w:lang w:val="en-GB"/>
                    </w:rPr>
                    <w:t xml:space="preserve"> laboratory, acquaintance with the rules of sterile work</w:t>
                  </w:r>
                </w:p>
              </w:tc>
            </w:tr>
            <w:tr w:rsidR="00527EC5" w:rsidRPr="00CD6851" w:rsidTr="000D1F89">
              <w:tc>
                <w:tcPr>
                  <w:tcW w:w="4474" w:type="dxa"/>
                </w:tcPr>
                <w:p w:rsidR="00527EC5" w:rsidRPr="00CD6851" w:rsidRDefault="00527EC5" w:rsidP="000D1F89">
                  <w:pPr>
                    <w:rPr>
                      <w:rFonts w:ascii="Playfair Display" w:hAnsi="Playfair Display"/>
                      <w:iCs/>
                      <w:lang w:val="en-GB"/>
                    </w:rPr>
                  </w:pPr>
                  <w:r w:rsidRPr="00CD6851">
                    <w:rPr>
                      <w:rFonts w:ascii="Playfair Display" w:hAnsi="Playfair Display"/>
                      <w:iCs/>
                      <w:lang w:val="en-GB"/>
                    </w:rPr>
                    <w:t xml:space="preserve">3 – 4 hours: Biotechnology of asexual reproduction: </w:t>
                  </w:r>
                  <w:proofErr w:type="spellStart"/>
                  <w:r w:rsidRPr="00CD6851">
                    <w:rPr>
                      <w:rFonts w:ascii="Playfair Display" w:hAnsi="Playfair Display"/>
                      <w:iCs/>
                      <w:lang w:val="en-GB"/>
                    </w:rPr>
                    <w:t>Micropropagation</w:t>
                  </w:r>
                  <w:proofErr w:type="spellEnd"/>
                  <w:r w:rsidRPr="00CD6851">
                    <w:rPr>
                      <w:rFonts w:ascii="Playfair Display" w:hAnsi="Playfair Display"/>
                      <w:iCs/>
                      <w:lang w:val="en-GB"/>
                    </w:rPr>
                    <w:t xml:space="preserve">. Somatic embryogenesis, somatic seeds / somatic seedlings. Tissue culture </w:t>
                  </w:r>
                  <w:proofErr w:type="gramStart"/>
                  <w:r w:rsidRPr="00CD6851">
                    <w:rPr>
                      <w:rFonts w:ascii="Playfair Display" w:hAnsi="Playfair Display"/>
                      <w:iCs/>
                      <w:lang w:val="en-GB"/>
                    </w:rPr>
                    <w:t>in a</w:t>
                  </w:r>
                  <w:proofErr w:type="gramEnd"/>
                  <w:r w:rsidRPr="00CD6851">
                    <w:rPr>
                      <w:rFonts w:ascii="Playfair Display" w:hAnsi="Playfair Display"/>
                      <w:iCs/>
                      <w:lang w:val="en-GB"/>
                    </w:rPr>
                    <w:t xml:space="preserve"> bioreactors. </w:t>
                  </w:r>
                </w:p>
              </w:tc>
              <w:tc>
                <w:tcPr>
                  <w:tcW w:w="4475"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 xml:space="preserve">3-4. hours: </w:t>
                  </w:r>
                  <w:proofErr w:type="spellStart"/>
                  <w:r w:rsidRPr="00CD6851">
                    <w:rPr>
                      <w:rFonts w:ascii="Playfair Display" w:hAnsi="Playfair Display"/>
                      <w:iCs/>
                      <w:lang w:val="en-GB"/>
                    </w:rPr>
                    <w:t>Micropropagation</w:t>
                  </w:r>
                  <w:proofErr w:type="spellEnd"/>
                  <w:r w:rsidRPr="00CD6851">
                    <w:rPr>
                      <w:rFonts w:ascii="Playfair Display" w:hAnsi="Playfair Display"/>
                      <w:iCs/>
                      <w:lang w:val="en-GB"/>
                    </w:rPr>
                    <w:t>: direct/indirect organogenesis</w:t>
                  </w:r>
                </w:p>
              </w:tc>
            </w:tr>
            <w:tr w:rsidR="00527EC5" w:rsidRPr="00CD6851" w:rsidTr="000D1F89">
              <w:tc>
                <w:tcPr>
                  <w:tcW w:w="4474"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 xml:space="preserve">5-6. hours: Biotechnological methods of sexual reproduction. </w:t>
                  </w:r>
                  <w:proofErr w:type="spellStart"/>
                  <w:r w:rsidRPr="00CD6851">
                    <w:rPr>
                      <w:rFonts w:ascii="Playfair Display" w:hAnsi="Playfair Display"/>
                      <w:iCs/>
                      <w:lang w:val="en-GB"/>
                    </w:rPr>
                    <w:t>Haploidy</w:t>
                  </w:r>
                  <w:proofErr w:type="spellEnd"/>
                  <w:r w:rsidRPr="00CD6851">
                    <w:rPr>
                      <w:rFonts w:ascii="Playfair Display" w:hAnsi="Playfair Display"/>
                      <w:iCs/>
                      <w:lang w:val="en-GB"/>
                    </w:rPr>
                    <w:t>, diploid technique</w:t>
                  </w:r>
                </w:p>
              </w:tc>
              <w:tc>
                <w:tcPr>
                  <w:tcW w:w="4475" w:type="dxa"/>
                </w:tcPr>
                <w:p w:rsidR="00527EC5" w:rsidRPr="00CD6851" w:rsidRDefault="00527EC5" w:rsidP="00527EC5">
                  <w:pPr>
                    <w:numPr>
                      <w:ilvl w:val="1"/>
                      <w:numId w:val="10"/>
                    </w:numPr>
                    <w:jc w:val="both"/>
                    <w:rPr>
                      <w:rFonts w:ascii="Playfair Display" w:hAnsi="Playfair Display"/>
                      <w:iCs/>
                      <w:lang w:val="en-GB"/>
                    </w:rPr>
                  </w:pPr>
                  <w:r w:rsidRPr="00CD6851">
                    <w:rPr>
                      <w:rFonts w:ascii="Playfair Display" w:hAnsi="Playfair Display"/>
                      <w:iCs/>
                      <w:lang w:val="en-GB"/>
                    </w:rPr>
                    <w:t>hours: Somatic embryogenesis,</w:t>
                  </w:r>
                </w:p>
                <w:p w:rsidR="00527EC5" w:rsidRPr="00CD6851" w:rsidRDefault="00527EC5" w:rsidP="000D1F89">
                  <w:pPr>
                    <w:jc w:val="both"/>
                    <w:rPr>
                      <w:rFonts w:ascii="Playfair Display" w:hAnsi="Playfair Display"/>
                      <w:iCs/>
                      <w:lang w:val="en-GB"/>
                    </w:rPr>
                  </w:pPr>
                  <w:proofErr w:type="gramStart"/>
                  <w:r w:rsidRPr="00CD6851">
                    <w:rPr>
                      <w:rFonts w:ascii="Playfair Display" w:hAnsi="Playfair Display"/>
                      <w:iCs/>
                      <w:lang w:val="en-GB"/>
                    </w:rPr>
                    <w:t>production</w:t>
                  </w:r>
                  <w:proofErr w:type="gramEnd"/>
                  <w:r w:rsidRPr="00CD6851">
                    <w:rPr>
                      <w:rFonts w:ascii="Playfair Display" w:hAnsi="Playfair Display"/>
                      <w:iCs/>
                      <w:lang w:val="en-GB"/>
                    </w:rPr>
                    <w:t xml:space="preserve"> of artificial seeds by encapsulation. </w:t>
                  </w:r>
                  <w:proofErr w:type="spellStart"/>
                  <w:r w:rsidRPr="00CD6851">
                    <w:rPr>
                      <w:rFonts w:ascii="Playfair Display" w:hAnsi="Playfair Display"/>
                      <w:iCs/>
                      <w:lang w:val="en-GB"/>
                    </w:rPr>
                    <w:t>Automatization</w:t>
                  </w:r>
                  <w:proofErr w:type="spellEnd"/>
                  <w:r w:rsidRPr="00CD6851">
                    <w:rPr>
                      <w:rFonts w:ascii="Playfair Display" w:hAnsi="Playfair Display"/>
                      <w:iCs/>
                      <w:lang w:val="en-GB"/>
                    </w:rPr>
                    <w:t xml:space="preserve"> in plant tissue culture - </w:t>
                  </w:r>
                  <w:proofErr w:type="gramStart"/>
                  <w:r w:rsidRPr="00CD6851">
                    <w:rPr>
                      <w:rFonts w:ascii="Playfair Display" w:hAnsi="Playfair Display"/>
                      <w:iCs/>
                      <w:lang w:val="en-GB"/>
                    </w:rPr>
                    <w:t>plant cloning</w:t>
                  </w:r>
                  <w:proofErr w:type="gramEnd"/>
                  <w:r w:rsidRPr="00CD6851">
                    <w:rPr>
                      <w:rFonts w:ascii="Playfair Display" w:hAnsi="Playfair Display"/>
                      <w:iCs/>
                      <w:lang w:val="en-GB"/>
                    </w:rPr>
                    <w:t xml:space="preserve"> bioreactors. Elicitation. </w:t>
                  </w:r>
                </w:p>
              </w:tc>
            </w:tr>
            <w:tr w:rsidR="00527EC5" w:rsidRPr="00CD6851" w:rsidTr="000D1F89">
              <w:tc>
                <w:tcPr>
                  <w:tcW w:w="4474"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 xml:space="preserve">7-8. hours: </w:t>
                  </w:r>
                  <w:r w:rsidRPr="00CD6851">
                    <w:rPr>
                      <w:rFonts w:ascii="Playfair Display" w:hAnsi="Playfair Display"/>
                      <w:i/>
                      <w:lang w:val="en-GB"/>
                    </w:rPr>
                    <w:t>In vitro</w:t>
                  </w:r>
                  <w:r w:rsidRPr="00CD6851">
                    <w:rPr>
                      <w:rFonts w:ascii="Playfair Display" w:hAnsi="Playfair Display"/>
                      <w:lang w:val="en-GB"/>
                    </w:rPr>
                    <w:t xml:space="preserve"> gene banks, virus elimination, cryopreservation</w:t>
                  </w:r>
                </w:p>
              </w:tc>
              <w:tc>
                <w:tcPr>
                  <w:tcW w:w="4475" w:type="dxa"/>
                </w:tcPr>
                <w:p w:rsidR="00527EC5" w:rsidRPr="00CD6851" w:rsidRDefault="00527EC5" w:rsidP="00527EC5">
                  <w:pPr>
                    <w:numPr>
                      <w:ilvl w:val="1"/>
                      <w:numId w:val="11"/>
                    </w:numPr>
                    <w:jc w:val="both"/>
                    <w:rPr>
                      <w:rFonts w:ascii="Playfair Display" w:hAnsi="Playfair Display"/>
                      <w:iCs/>
                      <w:lang w:val="en-GB"/>
                    </w:rPr>
                  </w:pPr>
                  <w:proofErr w:type="gramStart"/>
                  <w:r w:rsidRPr="00CD6851">
                    <w:rPr>
                      <w:rFonts w:ascii="Playfair Display" w:hAnsi="Playfair Display"/>
                      <w:iCs/>
                      <w:lang w:val="en-GB"/>
                    </w:rPr>
                    <w:t>hours</w:t>
                  </w:r>
                  <w:proofErr w:type="gramEnd"/>
                  <w:r w:rsidRPr="00CD6851">
                    <w:rPr>
                      <w:rFonts w:ascii="Playfair Display" w:hAnsi="Playfair Display"/>
                      <w:iCs/>
                      <w:lang w:val="en-GB"/>
                    </w:rPr>
                    <w:t xml:space="preserve">: Anther culture, </w:t>
                  </w:r>
                  <w:r w:rsidRPr="00CD6851">
                    <w:rPr>
                      <w:rFonts w:ascii="Playfair Display" w:hAnsi="Playfair Display"/>
                      <w:i/>
                      <w:lang w:val="en-GB"/>
                    </w:rPr>
                    <w:t xml:space="preserve">in vitro  </w:t>
                  </w:r>
                  <w:proofErr w:type="spellStart"/>
                  <w:r w:rsidRPr="00CD6851">
                    <w:rPr>
                      <w:rFonts w:ascii="Playfair Display" w:hAnsi="Playfair Display"/>
                      <w:iCs/>
                      <w:lang w:val="en-GB"/>
                    </w:rPr>
                    <w:t>androgenesis</w:t>
                  </w:r>
                  <w:proofErr w:type="spellEnd"/>
                  <w:r w:rsidRPr="00CD6851">
                    <w:rPr>
                      <w:rFonts w:ascii="Playfair Display" w:hAnsi="Playfair Display"/>
                      <w:iCs/>
                      <w:lang w:val="en-GB"/>
                    </w:rPr>
                    <w:t>; embryo preparation.</w:t>
                  </w:r>
                </w:p>
              </w:tc>
            </w:tr>
            <w:tr w:rsidR="00527EC5" w:rsidRPr="00CD6851" w:rsidTr="000D1F89">
              <w:tc>
                <w:tcPr>
                  <w:tcW w:w="4474" w:type="dxa"/>
                </w:tcPr>
                <w:p w:rsidR="00527EC5" w:rsidRPr="00CD6851" w:rsidRDefault="00527EC5" w:rsidP="00527EC5">
                  <w:pPr>
                    <w:numPr>
                      <w:ilvl w:val="1"/>
                      <w:numId w:val="12"/>
                    </w:numPr>
                    <w:ind w:left="63" w:hanging="63"/>
                    <w:jc w:val="both"/>
                    <w:rPr>
                      <w:rFonts w:ascii="Playfair Display" w:hAnsi="Playfair Display"/>
                      <w:iCs/>
                      <w:lang w:val="en-GB"/>
                    </w:rPr>
                  </w:pPr>
                  <w:r w:rsidRPr="00CD6851">
                    <w:rPr>
                      <w:rFonts w:ascii="Playfair Display" w:hAnsi="Playfair Display"/>
                      <w:iCs/>
                      <w:lang w:val="en-GB"/>
                    </w:rPr>
                    <w:t>hours: Fortification - enhancing crops value by agronomic and genetic methods</w:t>
                  </w:r>
                </w:p>
              </w:tc>
              <w:tc>
                <w:tcPr>
                  <w:tcW w:w="4475"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 xml:space="preserve">9-10. hours: Green biomass processing for </w:t>
                  </w:r>
                  <w:proofErr w:type="spellStart"/>
                  <w:r w:rsidRPr="00CD6851">
                    <w:rPr>
                      <w:rFonts w:ascii="Playfair Display" w:hAnsi="Playfair Display"/>
                      <w:iCs/>
                      <w:lang w:val="en-GB"/>
                    </w:rPr>
                    <w:t>biorefinery</w:t>
                  </w:r>
                  <w:proofErr w:type="spellEnd"/>
                  <w:r w:rsidRPr="00CD6851">
                    <w:rPr>
                      <w:rFonts w:ascii="Playfair Display" w:hAnsi="Playfair Display"/>
                      <w:iCs/>
                      <w:lang w:val="en-GB"/>
                    </w:rPr>
                    <w:t xml:space="preserve"> purposes. Protein determination by </w:t>
                  </w:r>
                  <w:proofErr w:type="spellStart"/>
                  <w:r w:rsidRPr="00CD6851">
                    <w:rPr>
                      <w:rFonts w:ascii="Playfair Display" w:hAnsi="Playfair Display"/>
                      <w:iCs/>
                      <w:lang w:val="en-GB"/>
                    </w:rPr>
                    <w:t>spectrofotometric</w:t>
                  </w:r>
                  <w:proofErr w:type="spellEnd"/>
                  <w:r w:rsidRPr="00CD6851">
                    <w:rPr>
                      <w:rFonts w:ascii="Playfair Display" w:hAnsi="Playfair Display"/>
                      <w:iCs/>
                      <w:lang w:val="en-GB"/>
                    </w:rPr>
                    <w:t xml:space="preserve"> method. Proteomic analysis by 1D/2D SDS PAGE - isoelectric focusing</w:t>
                  </w:r>
                </w:p>
              </w:tc>
            </w:tr>
            <w:tr w:rsidR="00527EC5" w:rsidRPr="00CD6851" w:rsidTr="000D1F89">
              <w:tc>
                <w:tcPr>
                  <w:tcW w:w="4474" w:type="dxa"/>
                </w:tcPr>
                <w:p w:rsidR="00527EC5" w:rsidRPr="00CD6851" w:rsidRDefault="00527EC5" w:rsidP="000D1F89">
                  <w:pPr>
                    <w:rPr>
                      <w:rFonts w:ascii="Playfair Display" w:hAnsi="Playfair Display"/>
                      <w:iCs/>
                      <w:lang w:val="en-GB"/>
                    </w:rPr>
                  </w:pPr>
                  <w:r w:rsidRPr="00CD6851">
                    <w:rPr>
                      <w:rFonts w:ascii="Playfair Display" w:hAnsi="Playfair Display"/>
                      <w:iCs/>
                      <w:lang w:val="en-GB"/>
                    </w:rPr>
                    <w:t xml:space="preserve">11 – 12 hours: Protein biotechnology, green </w:t>
                  </w:r>
                  <w:proofErr w:type="spellStart"/>
                  <w:r w:rsidRPr="00CD6851">
                    <w:rPr>
                      <w:rFonts w:ascii="Playfair Display" w:hAnsi="Playfair Display"/>
                      <w:iCs/>
                      <w:lang w:val="en-GB"/>
                    </w:rPr>
                    <w:t>biorefinery</w:t>
                  </w:r>
                  <w:proofErr w:type="spellEnd"/>
                </w:p>
              </w:tc>
              <w:tc>
                <w:tcPr>
                  <w:tcW w:w="4475" w:type="dxa"/>
                </w:tcPr>
                <w:p w:rsidR="00527EC5" w:rsidRPr="00CD6851" w:rsidRDefault="00527EC5" w:rsidP="000D1F89">
                  <w:pPr>
                    <w:jc w:val="both"/>
                    <w:rPr>
                      <w:rFonts w:ascii="Playfair Display" w:hAnsi="Playfair Display"/>
                      <w:iCs/>
                      <w:lang w:val="en-GB"/>
                    </w:rPr>
                  </w:pPr>
                  <w:r w:rsidRPr="00CD6851">
                    <w:rPr>
                      <w:rFonts w:ascii="Playfair Display" w:hAnsi="Playfair Display"/>
                      <w:iCs/>
                      <w:lang w:val="en-GB"/>
                    </w:rPr>
                    <w:t>11-12. hours: Proteomic analysis by 1D/2D SDS PAGE – gel electrophoresis and evaluation</w:t>
                  </w:r>
                </w:p>
              </w:tc>
            </w:tr>
            <w:tr w:rsidR="00527EC5" w:rsidRPr="00CD6851" w:rsidTr="000D1F89">
              <w:tc>
                <w:tcPr>
                  <w:tcW w:w="4474" w:type="dxa"/>
                </w:tcPr>
                <w:p w:rsidR="00527EC5" w:rsidRPr="00CD6851" w:rsidRDefault="00527EC5" w:rsidP="00527EC5">
                  <w:pPr>
                    <w:numPr>
                      <w:ilvl w:val="1"/>
                      <w:numId w:val="13"/>
                    </w:numPr>
                    <w:jc w:val="both"/>
                    <w:rPr>
                      <w:rFonts w:ascii="Playfair Display" w:hAnsi="Playfair Display"/>
                      <w:iCs/>
                      <w:lang w:val="en-GB"/>
                    </w:rPr>
                  </w:pPr>
                  <w:r w:rsidRPr="00CD6851">
                    <w:rPr>
                      <w:rFonts w:ascii="Playfair Display" w:hAnsi="Playfair Display"/>
                      <w:iCs/>
                      <w:lang w:val="en-GB"/>
                    </w:rPr>
                    <w:t>hours: Role of biotechnology in agriculture waste management</w:t>
                  </w:r>
                </w:p>
              </w:tc>
              <w:tc>
                <w:tcPr>
                  <w:tcW w:w="4475" w:type="dxa"/>
                </w:tcPr>
                <w:p w:rsidR="00527EC5" w:rsidRPr="00CD6851" w:rsidRDefault="00527EC5" w:rsidP="000D1F89">
                  <w:pPr>
                    <w:rPr>
                      <w:rFonts w:ascii="Playfair Display" w:hAnsi="Playfair Display"/>
                      <w:iCs/>
                      <w:lang w:val="en-GB"/>
                    </w:rPr>
                  </w:pPr>
                  <w:r w:rsidRPr="00CD6851">
                    <w:rPr>
                      <w:rFonts w:ascii="Playfair Display" w:hAnsi="Playfair Display"/>
                      <w:iCs/>
                      <w:lang w:val="en-GB"/>
                    </w:rPr>
                    <w:t>13-14. hours: Histochemical and biochemical analysis of fractionated green biomass</w:t>
                  </w:r>
                </w:p>
              </w:tc>
            </w:tr>
          </w:tbl>
          <w:p w:rsidR="00527EC5" w:rsidRPr="00CD6851" w:rsidRDefault="00527EC5" w:rsidP="000D1F89">
            <w:pPr>
              <w:suppressAutoHyphens/>
              <w:spacing w:line="254" w:lineRule="auto"/>
              <w:ind w:left="34"/>
              <w:jc w:val="both"/>
              <w:rPr>
                <w:rFonts w:ascii="Playfair Display" w:hAnsi="Playfair Display"/>
                <w:lang w:val="en-GB" w:eastAsia="en-US"/>
              </w:rPr>
            </w:pPr>
          </w:p>
        </w:tc>
      </w:tr>
      <w:tr w:rsidR="00527EC5" w:rsidRPr="00CD6851"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527EC5" w:rsidRPr="00CD6851" w:rsidRDefault="00527EC5" w:rsidP="000D1F89">
            <w:pPr>
              <w:suppressAutoHyphens/>
              <w:spacing w:line="254" w:lineRule="auto"/>
              <w:ind w:right="-108"/>
              <w:rPr>
                <w:rFonts w:ascii="Playfair Display" w:hAnsi="Playfair Display"/>
                <w:b/>
                <w:lang w:val="en-US" w:eastAsia="en-US"/>
              </w:rPr>
            </w:pPr>
            <w:r w:rsidRPr="00CD6851">
              <w:rPr>
                <w:rFonts w:ascii="Playfair Display" w:hAnsi="Playfair Display"/>
                <w:b/>
                <w:lang w:val="en-US" w:eastAsia="en-US"/>
              </w:rPr>
              <w:t>Required and recommended reading:</w:t>
            </w:r>
          </w:p>
        </w:tc>
      </w:tr>
      <w:tr w:rsidR="00527EC5" w:rsidRPr="00CD6851"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527EC5" w:rsidRPr="00CD6851" w:rsidRDefault="00527EC5" w:rsidP="000D1F89">
            <w:pPr>
              <w:suppressAutoHyphens/>
              <w:spacing w:line="254" w:lineRule="auto"/>
              <w:ind w:left="34"/>
              <w:rPr>
                <w:rFonts w:ascii="Playfair Display" w:hAnsi="Playfair Display"/>
                <w:bCs/>
                <w:lang w:val="en-US" w:eastAsia="en-US"/>
              </w:rPr>
            </w:pPr>
            <w:r w:rsidRPr="00CD6851">
              <w:rPr>
                <w:rFonts w:ascii="Playfair Display" w:hAnsi="Playfair Display"/>
                <w:b/>
                <w:lang w:val="en-US" w:eastAsia="en-US"/>
              </w:rPr>
              <w:t>Required reading</w:t>
            </w:r>
            <w:r w:rsidRPr="00CD6851">
              <w:rPr>
                <w:rFonts w:ascii="Playfair Display" w:hAnsi="Playfair Display"/>
                <w:bCs/>
                <w:lang w:val="en-US" w:eastAsia="en-US"/>
              </w:rPr>
              <w:t>:</w:t>
            </w:r>
          </w:p>
          <w:p w:rsidR="00527EC5" w:rsidRPr="00CD6851" w:rsidRDefault="00527EC5" w:rsidP="000D1F89">
            <w:pPr>
              <w:suppressAutoHyphens/>
              <w:spacing w:line="254" w:lineRule="auto"/>
              <w:ind w:left="34"/>
              <w:rPr>
                <w:rFonts w:ascii="Playfair Display" w:hAnsi="Playfair Display"/>
                <w:bCs/>
                <w:lang w:val="en-US" w:eastAsia="en-US"/>
              </w:rPr>
            </w:pPr>
            <w:r w:rsidRPr="00CD6851">
              <w:rPr>
                <w:rFonts w:ascii="Playfair Display" w:hAnsi="Playfair Display"/>
                <w:bCs/>
                <w:lang w:val="en-US" w:eastAsia="en-US"/>
              </w:rPr>
              <w:t>Lecture and practical material (pdf)</w:t>
            </w:r>
          </w:p>
          <w:p w:rsidR="00527EC5" w:rsidRPr="00CD6851" w:rsidRDefault="00527EC5" w:rsidP="000D1F89">
            <w:pPr>
              <w:suppressAutoHyphens/>
              <w:spacing w:line="254" w:lineRule="auto"/>
              <w:ind w:left="34"/>
              <w:rPr>
                <w:rFonts w:ascii="Playfair Display" w:hAnsi="Playfair Display"/>
                <w:b/>
                <w:lang w:val="en-US" w:eastAsia="en-US"/>
              </w:rPr>
            </w:pPr>
          </w:p>
          <w:p w:rsidR="00527EC5" w:rsidRPr="00CD6851" w:rsidRDefault="00527EC5" w:rsidP="000D1F89">
            <w:pPr>
              <w:suppressAutoHyphens/>
              <w:spacing w:line="254" w:lineRule="auto"/>
              <w:ind w:left="34"/>
              <w:rPr>
                <w:rFonts w:ascii="Playfair Display" w:hAnsi="Playfair Display"/>
                <w:bCs/>
                <w:lang w:val="en-US" w:eastAsia="en-US"/>
              </w:rPr>
            </w:pPr>
            <w:r w:rsidRPr="00CD6851">
              <w:rPr>
                <w:rFonts w:ascii="Playfair Display" w:hAnsi="Playfair Display"/>
                <w:b/>
                <w:lang w:val="en-US" w:eastAsia="en-US"/>
              </w:rPr>
              <w:t>Recommended reading</w:t>
            </w:r>
            <w:r w:rsidRPr="00CD6851">
              <w:rPr>
                <w:rFonts w:ascii="Playfair Display" w:hAnsi="Playfair Display"/>
                <w:bCs/>
                <w:lang w:val="en-US" w:eastAsia="en-US"/>
              </w:rPr>
              <w:t>:</w:t>
            </w:r>
          </w:p>
          <w:p w:rsidR="00527EC5" w:rsidRPr="00CD6851" w:rsidRDefault="00527EC5" w:rsidP="000D1F89">
            <w:pPr>
              <w:suppressAutoHyphens/>
              <w:spacing w:line="254" w:lineRule="auto"/>
              <w:ind w:left="34"/>
              <w:rPr>
                <w:rFonts w:ascii="Playfair Display" w:hAnsi="Playfair Display"/>
                <w:bCs/>
                <w:lang w:val="en-US" w:eastAsia="en-US"/>
              </w:rPr>
            </w:pPr>
            <w:r w:rsidRPr="00CD6851">
              <w:rPr>
                <w:rFonts w:ascii="Playfair Display" w:hAnsi="Playfair Display"/>
                <w:bCs/>
                <w:lang w:val="en-US" w:eastAsia="en-US"/>
              </w:rPr>
              <w:t>Altman A., Hasegawa P.M. (2012): Plant biotechnology and agriculture (Prospects for the 21st century)</w:t>
            </w:r>
          </w:p>
          <w:p w:rsidR="00527EC5" w:rsidRPr="00CD6851" w:rsidRDefault="00527EC5" w:rsidP="000D1F89">
            <w:pPr>
              <w:suppressAutoHyphens/>
              <w:spacing w:line="254" w:lineRule="auto"/>
              <w:rPr>
                <w:rFonts w:ascii="Playfair Display" w:hAnsi="Playfair Display"/>
                <w:bCs/>
                <w:lang w:val="en-US" w:eastAsia="en-US"/>
              </w:rPr>
            </w:pPr>
            <w:r w:rsidRPr="00CD6851">
              <w:rPr>
                <w:rFonts w:ascii="Playfair Display" w:hAnsi="Playfair Display"/>
                <w:bCs/>
                <w:lang w:val="en-US" w:eastAsia="en-US"/>
              </w:rPr>
              <w:t xml:space="preserve"> </w:t>
            </w:r>
            <w:proofErr w:type="spellStart"/>
            <w:r w:rsidRPr="00CD6851">
              <w:rPr>
                <w:rFonts w:ascii="Playfair Display" w:hAnsi="Playfair Display"/>
                <w:bCs/>
                <w:lang w:val="en-US" w:eastAsia="en-US"/>
              </w:rPr>
              <w:t>Kardung</w:t>
            </w:r>
            <w:proofErr w:type="spellEnd"/>
            <w:r w:rsidRPr="00CD6851">
              <w:rPr>
                <w:rFonts w:ascii="Playfair Display" w:hAnsi="Playfair Display"/>
                <w:bCs/>
                <w:lang w:val="en-US" w:eastAsia="en-US"/>
              </w:rPr>
              <w:t xml:space="preserve"> M. et al. (2020): Development of the Circular </w:t>
            </w:r>
            <w:proofErr w:type="spellStart"/>
            <w:r w:rsidRPr="00CD6851">
              <w:rPr>
                <w:rFonts w:ascii="Playfair Display" w:hAnsi="Playfair Display"/>
                <w:bCs/>
                <w:lang w:val="en-US" w:eastAsia="en-US"/>
              </w:rPr>
              <w:t>Bioeconomy</w:t>
            </w:r>
            <w:proofErr w:type="spellEnd"/>
            <w:r w:rsidRPr="00CD6851">
              <w:rPr>
                <w:rFonts w:ascii="Playfair Display" w:hAnsi="Playfair Display"/>
                <w:bCs/>
                <w:lang w:val="en-US" w:eastAsia="en-US"/>
              </w:rPr>
              <w:t>: Drivers and Indicators</w:t>
            </w:r>
          </w:p>
          <w:p w:rsidR="00527EC5" w:rsidRPr="00CD6851" w:rsidRDefault="00527EC5" w:rsidP="000D1F89">
            <w:pPr>
              <w:suppressAutoHyphens/>
              <w:spacing w:line="254" w:lineRule="auto"/>
              <w:ind w:left="34"/>
              <w:rPr>
                <w:rFonts w:ascii="Playfair Display" w:hAnsi="Playfair Display"/>
                <w:bCs/>
                <w:lang w:val="en-US" w:eastAsia="en-US"/>
              </w:rPr>
            </w:pPr>
          </w:p>
          <w:p w:rsidR="00527EC5" w:rsidRPr="00CD6851" w:rsidRDefault="00527EC5" w:rsidP="000D1F89">
            <w:pPr>
              <w:suppressAutoHyphens/>
              <w:spacing w:line="254" w:lineRule="auto"/>
              <w:ind w:left="34"/>
              <w:rPr>
                <w:rFonts w:ascii="Playfair Display" w:hAnsi="Playfair Display"/>
                <w:bCs/>
                <w:lang w:val="en-US" w:eastAsia="en-US"/>
              </w:rPr>
            </w:pPr>
          </w:p>
        </w:tc>
      </w:tr>
      <w:tr w:rsidR="00527EC5" w:rsidRPr="00CD6851"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b/>
                <w:lang w:val="en-US" w:eastAsia="en-US"/>
              </w:rPr>
              <w:lastRenderedPageBreak/>
              <w:t>Competencies to be acquired, related to the course:</w:t>
            </w:r>
          </w:p>
        </w:tc>
      </w:tr>
      <w:tr w:rsidR="00527EC5" w:rsidRPr="00CD6851"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b/>
                <w:lang w:val="en-US" w:eastAsia="en-US"/>
              </w:rPr>
              <w:t xml:space="preserve">a) Knowledge: </w:t>
            </w:r>
          </w:p>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lang w:val="en-US" w:eastAsia="en-US"/>
              </w:rPr>
              <w:t xml:space="preserve">During the lectures, students will acquire knowledge about the answers that the state of art plant biotechnology can offer to the current challenges related to crop production. During laboratory </w:t>
            </w:r>
            <w:proofErr w:type="gramStart"/>
            <w:r w:rsidRPr="00CD6851">
              <w:rPr>
                <w:rFonts w:ascii="Playfair Display" w:hAnsi="Playfair Display"/>
                <w:lang w:val="en-US" w:eastAsia="en-US"/>
              </w:rPr>
              <w:t>practices</w:t>
            </w:r>
            <w:proofErr w:type="gramEnd"/>
            <w:r w:rsidRPr="00CD6851">
              <w:rPr>
                <w:rFonts w:ascii="Playfair Display" w:hAnsi="Playfair Display"/>
                <w:lang w:val="en-US" w:eastAsia="en-US"/>
              </w:rPr>
              <w:t xml:space="preserve"> students will learn about the basic procedures used in plant biotechnology and the most commonly used model organizations.</w:t>
            </w:r>
          </w:p>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b/>
                <w:lang w:val="en-US" w:eastAsia="en-US"/>
              </w:rPr>
              <w:t>b) Ability:</w:t>
            </w:r>
          </w:p>
          <w:p w:rsidR="00527EC5" w:rsidRPr="00CD6851" w:rsidRDefault="00527EC5" w:rsidP="000D1F89">
            <w:pPr>
              <w:suppressAutoHyphens/>
              <w:spacing w:line="254" w:lineRule="auto"/>
              <w:jc w:val="both"/>
              <w:rPr>
                <w:rFonts w:ascii="Playfair Display" w:hAnsi="Playfair Display"/>
                <w:lang w:val="en-US" w:eastAsia="en-US"/>
              </w:rPr>
            </w:pPr>
            <w:r w:rsidRPr="00CD6851">
              <w:rPr>
                <w:rFonts w:ascii="Playfair Display" w:hAnsi="Playfair Display"/>
                <w:lang w:val="en-US" w:eastAsia="en-US"/>
              </w:rPr>
              <w:t xml:space="preserve">He/she is aware of the cellular, tissue and molecular techniques that can be used in the propagation and breeding of crops. </w:t>
            </w:r>
            <w:proofErr w:type="gramStart"/>
            <w:r w:rsidRPr="00CD6851">
              <w:rPr>
                <w:rFonts w:ascii="Playfair Display" w:hAnsi="Playfair Display"/>
                <w:lang w:val="en-US" w:eastAsia="en-US"/>
              </w:rPr>
              <w:t>Also</w:t>
            </w:r>
            <w:proofErr w:type="gramEnd"/>
            <w:r w:rsidRPr="00CD6851">
              <w:rPr>
                <w:rFonts w:ascii="Playfair Display" w:hAnsi="Playfair Display"/>
                <w:lang w:val="en-US" w:eastAsia="en-US"/>
              </w:rPr>
              <w:t>, he/she is aware of the biotechnological methods possibilities in the application of agricultural crops for feed / food and industrial purposes. Able to perform professional tasks in laboratory in the field of plant biotechnology. Along with, he/she is able to expand his / her own professional knowledge of plant biotechnology.</w:t>
            </w:r>
          </w:p>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b/>
                <w:lang w:val="en-US" w:eastAsia="en-US"/>
              </w:rPr>
              <w:t xml:space="preserve">c) Attitude: </w:t>
            </w:r>
          </w:p>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lang w:val="en-US" w:eastAsia="en-US"/>
              </w:rPr>
              <w:t xml:space="preserve">He/she seeks </w:t>
            </w:r>
            <w:proofErr w:type="gramStart"/>
            <w:r w:rsidRPr="00CD6851">
              <w:rPr>
                <w:rFonts w:ascii="Playfair Display" w:hAnsi="Playfair Display"/>
                <w:lang w:val="en-US" w:eastAsia="en-US"/>
              </w:rPr>
              <w:t>to continuously increase</w:t>
            </w:r>
            <w:proofErr w:type="gramEnd"/>
            <w:r w:rsidRPr="00CD6851">
              <w:rPr>
                <w:rFonts w:ascii="Playfair Display" w:hAnsi="Playfair Display"/>
                <w:lang w:val="en-US" w:eastAsia="en-US"/>
              </w:rPr>
              <w:t xml:space="preserve"> his/her knowledge of plant biotechnology, including further training at the PhD level and participation in professional further training. He/she behaves in an environmentally and nature-conscious manner at work and beyond.</w:t>
            </w:r>
          </w:p>
          <w:p w:rsidR="00527EC5" w:rsidRPr="00CD6851" w:rsidRDefault="00527EC5" w:rsidP="000D1F89">
            <w:pPr>
              <w:suppressAutoHyphens/>
              <w:spacing w:line="254" w:lineRule="auto"/>
              <w:jc w:val="both"/>
              <w:rPr>
                <w:rFonts w:ascii="Playfair Display" w:hAnsi="Playfair Display"/>
                <w:b/>
                <w:lang w:val="en-US" w:eastAsia="en-US"/>
              </w:rPr>
            </w:pPr>
            <w:r w:rsidRPr="00CD6851">
              <w:rPr>
                <w:rFonts w:ascii="Playfair Display" w:hAnsi="Playfair Display"/>
                <w:b/>
                <w:lang w:val="en-US" w:eastAsia="en-US"/>
              </w:rPr>
              <w:t>d) Autonomy and responsibility:</w:t>
            </w:r>
          </w:p>
          <w:p w:rsidR="00527EC5" w:rsidRPr="00CD6851" w:rsidRDefault="00527EC5" w:rsidP="000D1F89">
            <w:pPr>
              <w:suppressAutoHyphens/>
              <w:spacing w:line="254" w:lineRule="auto"/>
              <w:jc w:val="both"/>
              <w:rPr>
                <w:rFonts w:ascii="Playfair Display" w:hAnsi="Playfair Display"/>
                <w:lang w:val="en-US" w:eastAsia="en-US"/>
              </w:rPr>
            </w:pPr>
            <w:r w:rsidRPr="00CD6851">
              <w:rPr>
                <w:rFonts w:ascii="Playfair Display" w:hAnsi="Playfair Display"/>
                <w:lang w:val="en-US" w:eastAsia="en-US"/>
              </w:rPr>
              <w:t>He/she has ability to constructively collaborate and liaise with leaders, co-workers at the workplace. He/she expresses his/her opinion responsibly in professional and non-professional circles on issues related to the biotechnological use of crops.</w:t>
            </w:r>
          </w:p>
        </w:tc>
      </w:tr>
    </w:tbl>
    <w:p w:rsidR="00527EC5" w:rsidRPr="00CD6851" w:rsidRDefault="00527EC5" w:rsidP="00527EC5">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527EC5" w:rsidRPr="00CD6851"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b/>
                <w:lang w:val="en-US" w:eastAsia="en-US"/>
              </w:rPr>
            </w:pPr>
            <w:r w:rsidRPr="00CD6851">
              <w:rPr>
                <w:rFonts w:ascii="Playfair Display" w:hAnsi="Playfair Display"/>
                <w:b/>
                <w:lang w:val="en-US" w:eastAsia="en-US"/>
              </w:rPr>
              <w:t xml:space="preserve">Course leader </w:t>
            </w:r>
            <w:r w:rsidRPr="00CD6851">
              <w:rPr>
                <w:rFonts w:ascii="Playfair Display" w:hAnsi="Playfair Display"/>
                <w:lang w:val="en-US" w:eastAsia="en-US"/>
              </w:rPr>
              <w:t>(name, post, academic degree):</w:t>
            </w:r>
            <w:r w:rsidRPr="00CD6851">
              <w:rPr>
                <w:rFonts w:ascii="Playfair Display" w:hAnsi="Playfair Display"/>
                <w:b/>
                <w:lang w:val="en-US" w:eastAsia="en-US"/>
              </w:rPr>
              <w:t xml:space="preserve"> Dr. </w:t>
            </w:r>
            <w:proofErr w:type="spellStart"/>
            <w:r w:rsidRPr="00CD6851">
              <w:rPr>
                <w:rFonts w:ascii="Playfair Display" w:hAnsi="Playfair Display"/>
                <w:b/>
                <w:lang w:val="en-US" w:eastAsia="en-US"/>
              </w:rPr>
              <w:t>Éva</w:t>
            </w:r>
            <w:proofErr w:type="spellEnd"/>
            <w:r w:rsidRPr="00CD6851">
              <w:rPr>
                <w:rFonts w:ascii="Playfair Display" w:hAnsi="Playfair Display"/>
                <w:b/>
                <w:lang w:val="en-US" w:eastAsia="en-US"/>
              </w:rPr>
              <w:t xml:space="preserve"> Domokos-</w:t>
            </w:r>
            <w:proofErr w:type="spellStart"/>
            <w:r w:rsidRPr="00CD6851">
              <w:rPr>
                <w:rFonts w:ascii="Playfair Display" w:hAnsi="Playfair Display"/>
                <w:b/>
                <w:lang w:val="en-US" w:eastAsia="en-US"/>
              </w:rPr>
              <w:t>Szabolcsy</w:t>
            </w:r>
            <w:proofErr w:type="spellEnd"/>
            <w:r w:rsidRPr="00CD6851">
              <w:rPr>
                <w:rFonts w:ascii="Playfair Display" w:hAnsi="Playfair Display"/>
                <w:b/>
                <w:lang w:val="en-US" w:eastAsia="en-US"/>
              </w:rPr>
              <w:t xml:space="preserve"> PhD assistant professor</w:t>
            </w:r>
          </w:p>
        </w:tc>
      </w:tr>
      <w:tr w:rsidR="00527EC5" w:rsidRPr="00CD6851"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27EC5" w:rsidRPr="00CD6851" w:rsidRDefault="00527EC5" w:rsidP="000D1F89">
            <w:pPr>
              <w:suppressAutoHyphens/>
              <w:spacing w:before="60" w:line="254" w:lineRule="auto"/>
              <w:jc w:val="both"/>
              <w:rPr>
                <w:rFonts w:ascii="Playfair Display" w:hAnsi="Playfair Display"/>
                <w:b/>
                <w:lang w:val="en-US" w:eastAsia="en-US"/>
              </w:rPr>
            </w:pPr>
            <w:r w:rsidRPr="00CD6851">
              <w:rPr>
                <w:rFonts w:ascii="Playfair Display" w:hAnsi="Playfair Display"/>
                <w:b/>
                <w:lang w:val="en-US" w:eastAsia="en-US"/>
              </w:rPr>
              <w:t xml:space="preserve">Other lecturer(s) involved in teaching the course, if any </w:t>
            </w:r>
            <w:r w:rsidRPr="00CD6851">
              <w:rPr>
                <w:rFonts w:ascii="Playfair Display" w:hAnsi="Playfair Display"/>
                <w:lang w:val="en-US" w:eastAsia="en-US"/>
              </w:rPr>
              <w:t>(name, post, academic degree):</w:t>
            </w:r>
            <w:r w:rsidRPr="00CD6851">
              <w:rPr>
                <w:rFonts w:ascii="Playfair Display" w:hAnsi="Playfair Display"/>
                <w:b/>
                <w:lang w:val="en-US" w:eastAsia="en-US"/>
              </w:rPr>
              <w:t xml:space="preserve"> Prof. Dr. </w:t>
            </w:r>
            <w:proofErr w:type="spellStart"/>
            <w:r w:rsidRPr="00CD6851">
              <w:rPr>
                <w:rFonts w:ascii="Playfair Display" w:hAnsi="Playfair Display"/>
                <w:b/>
                <w:lang w:val="en-US" w:eastAsia="en-US"/>
              </w:rPr>
              <w:t>Miklós</w:t>
            </w:r>
            <w:proofErr w:type="spellEnd"/>
            <w:r w:rsidRPr="00CD6851">
              <w:rPr>
                <w:rFonts w:ascii="Playfair Display" w:hAnsi="Playfair Display"/>
                <w:b/>
                <w:lang w:val="en-US" w:eastAsia="en-US"/>
              </w:rPr>
              <w:t xml:space="preserve"> </w:t>
            </w:r>
            <w:proofErr w:type="spellStart"/>
            <w:r w:rsidRPr="00CD6851">
              <w:rPr>
                <w:rFonts w:ascii="Playfair Display" w:hAnsi="Playfair Display"/>
                <w:b/>
                <w:lang w:val="en-US" w:eastAsia="en-US"/>
              </w:rPr>
              <w:t>Fári</w:t>
            </w:r>
            <w:proofErr w:type="spellEnd"/>
            <w:r w:rsidRPr="00CD6851">
              <w:rPr>
                <w:rFonts w:ascii="Playfair Display" w:hAnsi="Playfair Display"/>
                <w:b/>
                <w:lang w:val="en-US" w:eastAsia="en-US"/>
              </w:rPr>
              <w:t xml:space="preserve"> full professor, </w:t>
            </w:r>
            <w:proofErr w:type="spellStart"/>
            <w:r w:rsidRPr="00CD6851">
              <w:rPr>
                <w:rFonts w:ascii="Playfair Display" w:hAnsi="Playfair Display"/>
                <w:b/>
                <w:lang w:val="en-US" w:eastAsia="en-US"/>
              </w:rPr>
              <w:t>László</w:t>
            </w:r>
            <w:proofErr w:type="spellEnd"/>
            <w:r w:rsidRPr="00CD6851">
              <w:rPr>
                <w:rFonts w:ascii="Playfair Display" w:hAnsi="Playfair Display"/>
                <w:b/>
                <w:lang w:val="en-US" w:eastAsia="en-US"/>
              </w:rPr>
              <w:t xml:space="preserve"> </w:t>
            </w:r>
            <w:proofErr w:type="spellStart"/>
            <w:r w:rsidRPr="00CD6851">
              <w:rPr>
                <w:rFonts w:ascii="Playfair Display" w:hAnsi="Playfair Display"/>
                <w:b/>
                <w:lang w:val="en-US" w:eastAsia="en-US"/>
              </w:rPr>
              <w:t>Kaszás</w:t>
            </w:r>
            <w:proofErr w:type="spellEnd"/>
            <w:r w:rsidRPr="00CD6851">
              <w:rPr>
                <w:rFonts w:ascii="Playfair Display" w:hAnsi="Playfair Display"/>
                <w:b/>
                <w:lang w:val="en-US" w:eastAsia="en-US"/>
              </w:rPr>
              <w:t xml:space="preserve"> assistant lecturer; Dr. Tarek </w:t>
            </w:r>
            <w:proofErr w:type="spellStart"/>
            <w:r w:rsidRPr="00CD6851">
              <w:rPr>
                <w:rFonts w:ascii="Playfair Display" w:hAnsi="Playfair Display"/>
                <w:b/>
                <w:lang w:val="en-US" w:eastAsia="en-US"/>
              </w:rPr>
              <w:t>Alshaal</w:t>
            </w:r>
            <w:proofErr w:type="spellEnd"/>
            <w:r w:rsidRPr="00CD6851">
              <w:rPr>
                <w:rFonts w:ascii="Playfair Display" w:hAnsi="Playfair Display"/>
                <w:b/>
                <w:lang w:val="en-US" w:eastAsia="en-US"/>
              </w:rPr>
              <w:t xml:space="preserve"> PhD associate professor</w:t>
            </w:r>
          </w:p>
        </w:tc>
      </w:tr>
    </w:tbl>
    <w:p w:rsidR="00314FB7" w:rsidRPr="00527EC5" w:rsidRDefault="00314FB7" w:rsidP="00527EC5"/>
    <w:sectPr w:rsidR="00314FB7" w:rsidRPr="00527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7"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0"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2"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9"/>
  </w:num>
  <w:num w:numId="2">
    <w:abstractNumId w:val="2"/>
  </w:num>
  <w:num w:numId="3">
    <w:abstractNumId w:val="3"/>
  </w:num>
  <w:num w:numId="4">
    <w:abstractNumId w:val="11"/>
  </w:num>
  <w:num w:numId="5">
    <w:abstractNumId w:val="8"/>
  </w:num>
  <w:num w:numId="6">
    <w:abstractNumId w:val="7"/>
  </w:num>
  <w:num w:numId="7">
    <w:abstractNumId w:val="1"/>
  </w:num>
  <w:num w:numId="8">
    <w:abstractNumId w:val="0"/>
  </w:num>
  <w:num w:numId="9">
    <w:abstractNumId w:val="6"/>
  </w:num>
  <w:num w:numId="10">
    <w:abstractNumId w:val="10"/>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30294"/>
    <w:rsid w:val="001E2C0B"/>
    <w:rsid w:val="00314FB7"/>
    <w:rsid w:val="00527EC5"/>
    <w:rsid w:val="007B5C65"/>
    <w:rsid w:val="009D08DD"/>
    <w:rsid w:val="00A45160"/>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4387</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2022-10-28T06:58:00Z</dcterms:created>
  <dcterms:modified xsi:type="dcterms:W3CDTF">2022-10-28T06:58:00Z</dcterms:modified>
</cp:coreProperties>
</file>